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30"/>
        <w:gridCol w:w="1925"/>
        <w:gridCol w:w="2666"/>
      </w:tblGrid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984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930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1925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CB2E84">
        <w:tc>
          <w:tcPr>
            <w:tcW w:w="1668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CB2E84">
        <w:tc>
          <w:tcPr>
            <w:tcW w:w="1668" w:type="dxa"/>
          </w:tcPr>
          <w:p w:rsidR="00C166D2" w:rsidRDefault="00350B4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1984" w:type="dxa"/>
          </w:tcPr>
          <w:p w:rsidR="00C166D2" w:rsidRDefault="00180DBE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>код ДК 021:2015: 09120000-6 Газове паливо (природний газ)</w:t>
            </w:r>
          </w:p>
        </w:tc>
        <w:tc>
          <w:tcPr>
            <w:tcW w:w="1930" w:type="dxa"/>
          </w:tcPr>
          <w:p w:rsidR="00C166D2" w:rsidRDefault="00350B44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4">
              <w:rPr>
                <w:rFonts w:ascii="Times New Roman" w:hAnsi="Times New Roman" w:cs="Times New Roman"/>
                <w:sz w:val="24"/>
                <w:szCs w:val="24"/>
              </w:rPr>
              <w:t xml:space="preserve">542580,00 </w:t>
            </w:r>
            <w:proofErr w:type="spellStart"/>
            <w:r w:rsidRPr="00350B44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350B44">
              <w:rPr>
                <w:rFonts w:ascii="Times New Roman" w:hAnsi="Times New Roman" w:cs="Times New Roman"/>
                <w:sz w:val="24"/>
                <w:szCs w:val="24"/>
              </w:rPr>
              <w:t xml:space="preserve"> (п’ятсот сорок дві тисячі п’ятсот вісімдесят гривень 00 коп.)</w:t>
            </w:r>
          </w:p>
        </w:tc>
        <w:tc>
          <w:tcPr>
            <w:tcW w:w="1925" w:type="dxa"/>
          </w:tcPr>
          <w:p w:rsidR="00C166D2" w:rsidRDefault="00180DBE" w:rsidP="0035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раховуючи необхідні ліміти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15.03.2021 </w:t>
            </w:r>
            <w:r w:rsidR="00350B44">
              <w:rPr>
                <w:rFonts w:ascii="Times New Roman" w:hAnsi="Times New Roman" w:cs="Times New Roman"/>
                <w:sz w:val="24"/>
                <w:szCs w:val="24"/>
              </w:rPr>
              <w:t>– 31.12.2021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 та </w:t>
            </w:r>
            <w:r w:rsidR="00350B44">
              <w:rPr>
                <w:rFonts w:ascii="Times New Roman" w:hAnsi="Times New Roman" w:cs="Times New Roman"/>
                <w:sz w:val="24"/>
                <w:szCs w:val="24"/>
              </w:rPr>
              <w:t xml:space="preserve">кон’юнктуру ринку на природний газ </w:t>
            </w:r>
          </w:p>
        </w:tc>
        <w:tc>
          <w:tcPr>
            <w:tcW w:w="2666" w:type="dxa"/>
          </w:tcPr>
          <w:p w:rsidR="00CB2E84" w:rsidRPr="00CB2E84" w:rsidRDefault="00354D45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E84"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Учасник повинен здійснювати постачання природного газу, що є предметом закупівлі, у відповідності до Закону України «Про ринок природного газу» від 9 квітня 2015 року № 329-VIII (із змінами), постанови Національної комісії, що здійснює державне регулювання у сферах енергетики та комунальних послуг «Про затвердження Правил постачання природного газу» від 30.09.2015  № 2496 (із змінами) та інших відповідних нормативно-правових актів діючого законодавства. </w:t>
            </w:r>
          </w:p>
          <w:p w:rsidR="00C166D2" w:rsidRDefault="00CB2E84" w:rsidP="00CB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E8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Фізико-хімічні показники природного газу розраховані за МВУ 06-063-2011, ДСТУ ISO 6976:2009 та повинні відповідати вимогам міждержавного ГОСТ 5542-87 «ГАЗЫ ГОРЮЧИЕ ПРИРОДНЫЕ ДЛЯ ПРОМЫШЛЕННОГО И КОММУНАЛЬНО-БЫТОВОГО НАЗНАЧЕНИЯ.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CB2E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28.01.2021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350B44"/>
    <w:rsid w:val="00354D45"/>
    <w:rsid w:val="00410025"/>
    <w:rsid w:val="005E64CB"/>
    <w:rsid w:val="00722256"/>
    <w:rsid w:val="00756022"/>
    <w:rsid w:val="00767C03"/>
    <w:rsid w:val="00A15627"/>
    <w:rsid w:val="00A81D57"/>
    <w:rsid w:val="00C166D2"/>
    <w:rsid w:val="00C51B9F"/>
    <w:rsid w:val="00CB2E84"/>
    <w:rsid w:val="00CE6C5F"/>
    <w:rsid w:val="00CE6FD4"/>
    <w:rsid w:val="00D0646A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4</cp:revision>
  <dcterms:created xsi:type="dcterms:W3CDTF">2021-02-03T07:59:00Z</dcterms:created>
  <dcterms:modified xsi:type="dcterms:W3CDTF">2021-02-05T10:54:00Z</dcterms:modified>
</cp:coreProperties>
</file>